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8E" w:rsidRDefault="00C7678E" w:rsidP="00885856">
      <w:pPr>
        <w:jc w:val="center"/>
        <w:rPr>
          <w:sz w:val="40"/>
          <w:szCs w:val="40"/>
        </w:rPr>
      </w:pPr>
      <w:r w:rsidRPr="00C7678E">
        <w:rPr>
          <w:sz w:val="40"/>
          <w:szCs w:val="40"/>
        </w:rPr>
        <w:t xml:space="preserve">Programme du </w:t>
      </w:r>
      <w:r w:rsidR="00552586">
        <w:rPr>
          <w:sz w:val="40"/>
          <w:szCs w:val="40"/>
        </w:rPr>
        <w:t>vendredi</w:t>
      </w: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10h : Cinéma de Biscarrosse, « Les </w:t>
      </w:r>
      <w:proofErr w:type="spellStart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coasters</w:t>
      </w:r>
      <w:proofErr w:type="spellEnd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 » de Nicolas-Alexandre Tremblay-1h25 </w:t>
      </w: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10h : Cinéma de Biscarrosse, « Un homme sage-femme » de Martine Asseline-64mn</w:t>
      </w: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 xml:space="preserve">10h15 : 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Cinéma de Biscarrosse « </w:t>
      </w:r>
      <w:proofErr w:type="spellStart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Kinship</w:t>
      </w:r>
      <w:proofErr w:type="spellEnd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 » de   Jorge </w:t>
      </w:r>
      <w:proofErr w:type="spellStart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Camarotti</w:t>
      </w:r>
      <w:proofErr w:type="spellEnd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 -15 mn suivi de « Colonie » de Geneviève Dulule de Celles-1h42</w:t>
      </w:r>
    </w:p>
    <w:p w:rsid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 xml:space="preserve">10h15 : 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Cinéma Biscarrosse, « La fin des terres » Loïc Doises-1h30</w:t>
      </w:r>
    </w:p>
    <w:p w:rsidR="00552586" w:rsidRPr="00552586" w:rsidRDefault="00552586" w:rsidP="00552586">
      <w:pPr>
        <w:pStyle w:val="Paragraphedeliste"/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14h : École 3IS, Bègles : class de maitre de François Bouvier.</w:t>
      </w: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 xml:space="preserve">14h : 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Cinéma de Biscarrosse, « Du Téweikan à l’électro » de Kim Obonsawin-</w:t>
      </w:r>
    </w:p>
    <w:p w:rsid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 xml:space="preserve">14h15 : 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Cinéma Biscarrosse, « Le vieil âge et l’espérance » de Fernand Dansereau-1h27</w:t>
      </w:r>
    </w:p>
    <w:p w:rsidR="00552586" w:rsidRPr="00552586" w:rsidRDefault="00552586" w:rsidP="00552586">
      <w:pPr>
        <w:pStyle w:val="Paragraphedeliste"/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</w:p>
    <w:p w:rsidR="00552586" w:rsidRP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 xml:space="preserve">16h : 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Cinéma de Biscarrosse, « Astres » de Andrée Anne Roussel -15 mn suivi de « Les salopes où le sucre naturel de la peau » (interdit aux moins de 16 ans) de Renée Beaulieu.</w:t>
      </w:r>
    </w:p>
    <w:p w:rsidR="00552586" w:rsidRPr="00552586" w:rsidRDefault="00552586" w:rsidP="0055258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>16h15 :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 Cinéma Biscarrosse, « -21 a short film » de Colin Nixon-17mn suivi de « Nous sommes gold » de Eric Morin-1h40</w:t>
      </w:r>
    </w:p>
    <w:p w:rsidR="00552586" w:rsidRPr="00552586" w:rsidRDefault="00552586" w:rsidP="00552586">
      <w:pPr>
        <w:pStyle w:val="Paragraphedeliste"/>
        <w:rPr>
          <w:rFonts w:asciiTheme="majorHAnsi" w:hAnsiTheme="majorHAnsi" w:cstheme="majorHAnsi"/>
          <w:color w:val="1D1D1D"/>
          <w:sz w:val="32"/>
          <w:szCs w:val="32"/>
        </w:rPr>
      </w:pPr>
    </w:p>
    <w:p w:rsidR="00552586" w:rsidRPr="00552586" w:rsidRDefault="00552586" w:rsidP="0055258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19h : Cinéma Biscarrosse, « Ziva Postec la monteuse derrière le film Shoah »</w:t>
      </w:r>
    </w:p>
    <w:p w:rsidR="00552586" w:rsidRDefault="00552586" w:rsidP="0055258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19h15 : Cinéma Biscarrosse, « Meute » de Florence Lafond - 11 mn suivi de « « Il pleuvait des oiseaux » de Louise Archambault-2h07</w:t>
      </w:r>
    </w:p>
    <w:p w:rsidR="00552586" w:rsidRPr="00552586" w:rsidRDefault="00552586" w:rsidP="00552586">
      <w:p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</w:p>
    <w:p w:rsidR="00552586" w:rsidRPr="00552586" w:rsidRDefault="00552586" w:rsidP="0055258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>21h : Cinéma de Biscarrosse, « La Bolduc » de François Bouvier-</w:t>
      </w:r>
    </w:p>
    <w:p w:rsidR="00C7678E" w:rsidRPr="00552586" w:rsidRDefault="00552586" w:rsidP="0055258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552586">
        <w:rPr>
          <w:rFonts w:asciiTheme="majorHAnsi" w:hAnsiTheme="majorHAnsi" w:cstheme="majorHAnsi"/>
          <w:color w:val="1D1D1D"/>
          <w:sz w:val="32"/>
          <w:szCs w:val="32"/>
        </w:rPr>
        <w:t>21h15 :</w:t>
      </w:r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 Cinéma Biscarrosse, « Je ne suis pas ce que tu vois » de Hippolyte Vendra-12 mn suivi de</w:t>
      </w:r>
      <w:proofErr w:type="gramStart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 «</w:t>
      </w:r>
      <w:proofErr w:type="spellStart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Ca</w:t>
      </w:r>
      <w:proofErr w:type="gramEnd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$h</w:t>
      </w:r>
      <w:proofErr w:type="spellEnd"/>
      <w:r w:rsidRPr="00552586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 xml:space="preserve"> Nexus » de François Delisle-2h15</w:t>
      </w:r>
      <w:bookmarkStart w:id="0" w:name="_GoBack"/>
      <w:bookmarkEnd w:id="0"/>
    </w:p>
    <w:sectPr w:rsidR="00C7678E" w:rsidRPr="00552586" w:rsidSect="002D4A2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3F" w:rsidRDefault="0049183F" w:rsidP="00885856">
      <w:r>
        <w:separator/>
      </w:r>
    </w:p>
  </w:endnote>
  <w:endnote w:type="continuationSeparator" w:id="0">
    <w:p w:rsidR="0049183F" w:rsidRDefault="0049183F" w:rsidP="008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3F" w:rsidRDefault="0049183F" w:rsidP="00885856">
      <w:r>
        <w:separator/>
      </w:r>
    </w:p>
  </w:footnote>
  <w:footnote w:type="continuationSeparator" w:id="0">
    <w:p w:rsidR="0049183F" w:rsidRDefault="0049183F" w:rsidP="0088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6" w:rsidRDefault="00885856">
    <w:pPr>
      <w:pStyle w:val="En-tte"/>
    </w:pPr>
    <w:r>
      <w:rPr>
        <w:noProof/>
        <w:sz w:val="40"/>
        <w:szCs w:val="40"/>
      </w:rPr>
      <w:drawing>
        <wp:inline distT="0" distB="0" distL="0" distR="0" wp14:anchorId="628745A6" wp14:editId="7A87CC6A">
          <wp:extent cx="5756910" cy="10077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x350 bandeau FCQB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856" w:rsidRDefault="00885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19"/>
    <w:multiLevelType w:val="hybridMultilevel"/>
    <w:tmpl w:val="CB84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37A6"/>
    <w:multiLevelType w:val="hybridMultilevel"/>
    <w:tmpl w:val="1C5C7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3074"/>
    <w:multiLevelType w:val="hybridMultilevel"/>
    <w:tmpl w:val="F620E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C45B4"/>
    <w:multiLevelType w:val="hybridMultilevel"/>
    <w:tmpl w:val="C0121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8E"/>
    <w:rsid w:val="000069B6"/>
    <w:rsid w:val="002D4A20"/>
    <w:rsid w:val="00372EE1"/>
    <w:rsid w:val="0049183F"/>
    <w:rsid w:val="00552586"/>
    <w:rsid w:val="00885856"/>
    <w:rsid w:val="00A93FC2"/>
    <w:rsid w:val="00B750E3"/>
    <w:rsid w:val="00C26C5B"/>
    <w:rsid w:val="00C7678E"/>
    <w:rsid w:val="00E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A85C"/>
  <w15:chartTrackingRefBased/>
  <w15:docId w15:val="{9B899124-3AF2-5643-A7C9-F921F6C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856"/>
  </w:style>
  <w:style w:type="paragraph" w:styleId="Pieddepage">
    <w:name w:val="footer"/>
    <w:basedOn w:val="Normal"/>
    <w:link w:val="Pieddepag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bfajnzilberg@orange.fr</dc:creator>
  <cp:keywords/>
  <dc:description/>
  <cp:lastModifiedBy>bfajnzilberg@orange.fr</cp:lastModifiedBy>
  <cp:revision>2</cp:revision>
  <dcterms:created xsi:type="dcterms:W3CDTF">2019-10-07T07:55:00Z</dcterms:created>
  <dcterms:modified xsi:type="dcterms:W3CDTF">2019-10-07T07:55:00Z</dcterms:modified>
</cp:coreProperties>
</file>